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142F3" w14:textId="77777777" w:rsidR="007B3B1C" w:rsidRDefault="00795633">
      <w:pPr>
        <w:spacing w:after="170"/>
        <w:ind w:left="-5" w:right="1043"/>
        <w:jc w:val="right"/>
      </w:pPr>
      <w:r>
        <w:t xml:space="preserve"> </w:t>
      </w:r>
    </w:p>
    <w:p w14:paraId="1A222E3C" w14:textId="77777777" w:rsidR="00A212AF" w:rsidRDefault="00AE70F1">
      <w:pPr>
        <w:spacing w:after="5" w:line="249" w:lineRule="auto"/>
        <w:ind w:left="-5" w:right="876" w:hanging="10"/>
        <w:rPr>
          <w:rFonts w:ascii="Arial" w:eastAsia="Arial" w:hAnsi="Arial" w:cs="Arial"/>
          <w:sz w:val="24"/>
        </w:rPr>
      </w:pPr>
      <w:r w:rsidRPr="00DA6A69">
        <w:rPr>
          <w:noProof/>
        </w:rPr>
        <w:drawing>
          <wp:inline distT="0" distB="0" distL="0" distR="0" wp14:anchorId="41BAFCCF" wp14:editId="3D816F03">
            <wp:extent cx="2009775" cy="71561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6" cy="7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71FD" w14:textId="77777777" w:rsidR="00A212AF" w:rsidRDefault="00A212AF">
      <w:pPr>
        <w:spacing w:after="5" w:line="249" w:lineRule="auto"/>
        <w:ind w:left="-5" w:right="876" w:hanging="10"/>
        <w:rPr>
          <w:rFonts w:ascii="Arial" w:eastAsia="Arial" w:hAnsi="Arial" w:cs="Arial"/>
          <w:sz w:val="24"/>
        </w:rPr>
      </w:pPr>
      <w:r w:rsidRPr="00A212AF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8974" wp14:editId="0F81E5EF">
                <wp:simplePos x="0" y="0"/>
                <wp:positionH relativeFrom="column">
                  <wp:posOffset>-1</wp:posOffset>
                </wp:positionH>
                <wp:positionV relativeFrom="paragraph">
                  <wp:posOffset>185061</wp:posOffset>
                </wp:positionV>
                <wp:extent cx="8078525" cy="421005"/>
                <wp:effectExtent l="0" t="0" r="1778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8525" cy="4210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95F62" w14:textId="77777777" w:rsidR="00A212AF" w:rsidRPr="00A212AF" w:rsidRDefault="00A212AF" w:rsidP="00A212AF">
                            <w:pPr>
                              <w:jc w:val="right"/>
                              <w:rPr>
                                <w:rFonts w:ascii="Rockwell" w:hAnsi="Rockwell" w:cstheme="minorHAnsi"/>
                                <w:color w:val="F2F2F2" w:themeColor="background1" w:themeShade="F2"/>
                                <w:sz w:val="44"/>
                              </w:rPr>
                            </w:pPr>
                            <w:r w:rsidRPr="00A212AF">
                              <w:rPr>
                                <w:rFonts w:ascii="Rockwell" w:hAnsi="Rockwell" w:cstheme="minorHAnsi"/>
                                <w:color w:val="F2F2F2" w:themeColor="background1" w:themeShade="F2"/>
                                <w:sz w:val="44"/>
                              </w:rPr>
                              <w:t>Ohio Transitions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F0CE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55pt;width:636.1pt;height:3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" fillcolor="#595959" strokeweight=".5pt">
                <v:textbox>
                  <w:txbxContent>
                    <w:p w:rsidR="00A212AF" w:rsidRPr="00A212AF" w:rsidRDefault="00A212AF" w:rsidP="00A212AF">
                      <w:pPr>
                        <w:jc w:val="right"/>
                        <w:rPr>
                          <w:rFonts w:ascii="Rockwell" w:hAnsi="Rockwell" w:cstheme="minorHAnsi"/>
                          <w:color w:val="F2F2F2" w:themeColor="background1" w:themeShade="F2"/>
                          <w:sz w:val="44"/>
                        </w:rPr>
                      </w:pPr>
                      <w:r w:rsidRPr="00A212AF">
                        <w:rPr>
                          <w:rFonts w:ascii="Rockwell" w:hAnsi="Rockwell" w:cstheme="minorHAnsi"/>
                          <w:color w:val="F2F2F2" w:themeColor="background1" w:themeShade="F2"/>
                          <w:sz w:val="44"/>
                        </w:rPr>
                        <w:t>Ohio Transitions Framework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3EA5C79C" w14:textId="77777777" w:rsidR="00A212AF" w:rsidRDefault="00A212AF">
      <w:pPr>
        <w:spacing w:after="5" w:line="249" w:lineRule="auto"/>
        <w:ind w:left="-5" w:right="876" w:hanging="10"/>
        <w:rPr>
          <w:rFonts w:ascii="Arial" w:eastAsia="Arial" w:hAnsi="Arial" w:cs="Arial"/>
          <w:sz w:val="24"/>
        </w:rPr>
      </w:pPr>
    </w:p>
    <w:p w14:paraId="78E77732" w14:textId="77777777" w:rsidR="00A212AF" w:rsidRDefault="00A212AF">
      <w:pPr>
        <w:spacing w:after="5" w:line="249" w:lineRule="auto"/>
        <w:ind w:left="-5" w:right="876" w:hanging="10"/>
        <w:rPr>
          <w:rFonts w:ascii="Arial" w:eastAsia="Arial" w:hAnsi="Arial" w:cs="Arial"/>
          <w:sz w:val="24"/>
        </w:rPr>
      </w:pPr>
    </w:p>
    <w:p w14:paraId="62D4BCF6" w14:textId="77777777" w:rsidR="00A212AF" w:rsidRDefault="00A212AF">
      <w:pPr>
        <w:spacing w:after="5" w:line="249" w:lineRule="auto"/>
        <w:ind w:left="-5" w:right="876" w:hanging="10"/>
        <w:rPr>
          <w:rFonts w:ascii="Arial" w:eastAsia="Arial" w:hAnsi="Arial" w:cs="Arial"/>
          <w:sz w:val="24"/>
        </w:rPr>
      </w:pPr>
    </w:p>
    <w:p w14:paraId="166216B1" w14:textId="77777777" w:rsidR="007B3B1C" w:rsidRDefault="00795633">
      <w:pPr>
        <w:spacing w:after="5" w:line="249" w:lineRule="auto"/>
        <w:ind w:left="-5" w:right="876" w:hanging="10"/>
      </w:pPr>
      <w:r>
        <w:rPr>
          <w:rFonts w:ascii="Arial" w:eastAsia="Arial" w:hAnsi="Arial" w:cs="Arial"/>
          <w:sz w:val="24"/>
        </w:rPr>
        <w:t xml:space="preserve">The Ohio </w:t>
      </w:r>
      <w:r w:rsidR="009432CB">
        <w:rPr>
          <w:rFonts w:ascii="Arial" w:eastAsia="Arial" w:hAnsi="Arial" w:cs="Arial"/>
          <w:sz w:val="24"/>
        </w:rPr>
        <w:t>Aspire</w:t>
      </w:r>
      <w:r>
        <w:rPr>
          <w:rFonts w:ascii="Arial" w:eastAsia="Arial" w:hAnsi="Arial" w:cs="Arial"/>
          <w:sz w:val="24"/>
        </w:rPr>
        <w:t xml:space="preserve"> programs are part of the </w:t>
      </w:r>
      <w:r w:rsidR="009432CB">
        <w:rPr>
          <w:rFonts w:ascii="Arial" w:eastAsia="Arial" w:hAnsi="Arial" w:cs="Arial"/>
          <w:sz w:val="24"/>
        </w:rPr>
        <w:t>Ohio Department of Higher Education (ODHE).</w:t>
      </w:r>
      <w:r>
        <w:rPr>
          <w:rFonts w:ascii="Arial" w:eastAsia="Arial" w:hAnsi="Arial" w:cs="Arial"/>
          <w:sz w:val="24"/>
        </w:rPr>
        <w:t xml:space="preserve"> Aligning with the Adult Learner Strategy and being an integral part of </w:t>
      </w:r>
      <w:r w:rsidR="007B0193">
        <w:rPr>
          <w:rFonts w:ascii="Arial" w:eastAsia="Arial" w:hAnsi="Arial" w:cs="Arial"/>
          <w:sz w:val="24"/>
        </w:rPr>
        <w:t xml:space="preserve">the </w:t>
      </w:r>
      <w:r w:rsidR="009432CB">
        <w:rPr>
          <w:rFonts w:ascii="Arial" w:eastAsia="Arial" w:hAnsi="Arial" w:cs="Arial"/>
          <w:sz w:val="24"/>
        </w:rPr>
        <w:t>ODHE</w:t>
      </w:r>
      <w:r>
        <w:rPr>
          <w:rFonts w:ascii="Arial" w:eastAsia="Arial" w:hAnsi="Arial" w:cs="Arial"/>
          <w:sz w:val="24"/>
        </w:rPr>
        <w:t xml:space="preserve"> gives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 programs the ability to facilitate student success through partnerships among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, community colleges, regional campuses, </w:t>
      </w:r>
      <w:r w:rsidR="00E64322">
        <w:rPr>
          <w:rFonts w:ascii="Arial" w:eastAsia="Arial" w:hAnsi="Arial" w:cs="Arial"/>
          <w:sz w:val="24"/>
        </w:rPr>
        <w:t>Ohio Technical Centers (OTC)</w:t>
      </w:r>
      <w:r>
        <w:rPr>
          <w:rFonts w:ascii="Arial" w:eastAsia="Arial" w:hAnsi="Arial" w:cs="Arial"/>
          <w:sz w:val="24"/>
        </w:rPr>
        <w:t xml:space="preserve">, and throughout community-based organizations.  </w:t>
      </w:r>
    </w:p>
    <w:p w14:paraId="4C0D384D" w14:textId="77777777" w:rsidR="007B3B1C" w:rsidRDefault="0079563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35BE10" w14:textId="77777777" w:rsidR="007B3B1C" w:rsidRDefault="00795633">
      <w:pPr>
        <w:spacing w:after="5" w:line="249" w:lineRule="auto"/>
        <w:ind w:left="-5" w:right="876" w:hanging="10"/>
      </w:pPr>
      <w:r>
        <w:rPr>
          <w:rFonts w:ascii="Arial" w:eastAsia="Arial" w:hAnsi="Arial" w:cs="Arial"/>
          <w:sz w:val="24"/>
        </w:rPr>
        <w:t>The Ohio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 Transitions Framework is organized by three primary categories: Instruction, Support Services, and Collaborations. The framework is constructed broadly to encompass require</w:t>
      </w:r>
      <w:r w:rsidR="00312E41">
        <w:rPr>
          <w:rFonts w:ascii="Arial" w:eastAsia="Arial" w:hAnsi="Arial" w:cs="Arial"/>
          <w:sz w:val="24"/>
        </w:rPr>
        <w:t>ments of both postsecondary and</w:t>
      </w:r>
      <w:r>
        <w:rPr>
          <w:rFonts w:ascii="Arial" w:eastAsia="Arial" w:hAnsi="Arial" w:cs="Arial"/>
          <w:sz w:val="24"/>
        </w:rPr>
        <w:t xml:space="preserve"> career/workplace transitions. It has been edited by state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 staff to align with the new national adult career pathway model promoted by the U.S. Departments of Education, Labor and Health and Human Services.  </w:t>
      </w:r>
    </w:p>
    <w:p w14:paraId="52C9285B" w14:textId="77777777" w:rsidR="007B3B1C" w:rsidRDefault="00795633">
      <w:pPr>
        <w:spacing w:after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0A1DFBE9" w14:textId="77777777" w:rsidR="007B3B1C" w:rsidRDefault="00795633">
      <w:pPr>
        <w:spacing w:after="5" w:line="249" w:lineRule="auto"/>
        <w:ind w:left="-5" w:right="876" w:hanging="10"/>
      </w:pPr>
      <w:r>
        <w:rPr>
          <w:rFonts w:ascii="Arial" w:eastAsia="Arial" w:hAnsi="Arial" w:cs="Arial"/>
          <w:sz w:val="24"/>
        </w:rPr>
        <w:t>All Ohio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 programs should operate within this framework. It is expected that all A</w:t>
      </w:r>
      <w:r w:rsidR="009432CB">
        <w:rPr>
          <w:rFonts w:ascii="Arial" w:eastAsia="Arial" w:hAnsi="Arial" w:cs="Arial"/>
          <w:sz w:val="24"/>
        </w:rPr>
        <w:t>spire</w:t>
      </w:r>
      <w:r>
        <w:rPr>
          <w:rFonts w:ascii="Arial" w:eastAsia="Arial" w:hAnsi="Arial" w:cs="Arial"/>
          <w:sz w:val="24"/>
        </w:rPr>
        <w:t xml:space="preserve"> programs provide bridge programs and maintain formal partnership agreements among </w:t>
      </w:r>
      <w:r w:rsidR="009432CB">
        <w:rPr>
          <w:rFonts w:ascii="Arial" w:eastAsia="Arial" w:hAnsi="Arial" w:cs="Arial"/>
          <w:sz w:val="24"/>
        </w:rPr>
        <w:t>ODHE</w:t>
      </w:r>
      <w:r>
        <w:rPr>
          <w:rFonts w:ascii="Arial" w:eastAsia="Arial" w:hAnsi="Arial" w:cs="Arial"/>
          <w:sz w:val="24"/>
        </w:rPr>
        <w:t xml:space="preserve"> and local community partners. Programs should: define the desired adult career pathway system and program outcomes; determine how to measure system and program outcomes; establish how data will be collected, stored, tracked and shared as well as analyze data, revisit desired outcomes, and assess progress.  </w:t>
      </w:r>
    </w:p>
    <w:p w14:paraId="3B55CCBF" w14:textId="77777777" w:rsidR="007B3B1C" w:rsidRDefault="00795633">
      <w:pPr>
        <w:spacing w:after="0"/>
      </w:pPr>
      <w:r>
        <w:rPr>
          <w:rFonts w:ascii="Arial" w:eastAsia="Arial" w:hAnsi="Arial" w:cs="Arial"/>
          <w:sz w:val="24"/>
        </w:rPr>
        <w:t xml:space="preserve">   </w:t>
      </w:r>
    </w:p>
    <w:p w14:paraId="659C9094" w14:textId="77777777" w:rsidR="007B3B1C" w:rsidRDefault="00795633">
      <w:pPr>
        <w:spacing w:after="0" w:line="242" w:lineRule="auto"/>
        <w:ind w:right="871"/>
      </w:pPr>
      <w:r>
        <w:rPr>
          <w:rFonts w:ascii="Arial" w:eastAsia="Arial" w:hAnsi="Arial" w:cs="Arial"/>
          <w:b/>
          <w:i/>
          <w:sz w:val="24"/>
        </w:rPr>
        <w:t>A</w:t>
      </w:r>
      <w:r w:rsidR="009432CB">
        <w:rPr>
          <w:rFonts w:ascii="Arial" w:eastAsia="Arial" w:hAnsi="Arial" w:cs="Arial"/>
          <w:b/>
          <w:i/>
          <w:sz w:val="24"/>
        </w:rPr>
        <w:t>spire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transitions services</w:t>
      </w:r>
      <w:r>
        <w:rPr>
          <w:rFonts w:ascii="Arial" w:eastAsia="Arial" w:hAnsi="Arial" w:cs="Arial"/>
          <w:i/>
          <w:sz w:val="24"/>
        </w:rPr>
        <w:t xml:space="preserve"> are defined as those services that facilitate students successfully transitioning to</w:t>
      </w:r>
      <w:r w:rsidR="00312E41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 postsecondary education, training, and/or employment as a result of receiving A</w:t>
      </w:r>
      <w:r w:rsidR="009432CB">
        <w:rPr>
          <w:rFonts w:ascii="Arial" w:eastAsia="Arial" w:hAnsi="Arial" w:cs="Arial"/>
          <w:i/>
          <w:sz w:val="24"/>
        </w:rPr>
        <w:t>spire</w:t>
      </w:r>
      <w:r>
        <w:rPr>
          <w:rFonts w:ascii="Arial" w:eastAsia="Arial" w:hAnsi="Arial" w:cs="Arial"/>
          <w:i/>
          <w:sz w:val="24"/>
        </w:rPr>
        <w:t xml:space="preserve"> services. </w:t>
      </w:r>
    </w:p>
    <w:p w14:paraId="42636BC3" w14:textId="77777777" w:rsidR="007B3B1C" w:rsidRDefault="00795633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B29E430" w14:textId="77777777" w:rsidR="007B3B1C" w:rsidRDefault="00795633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124092A" w14:textId="77777777" w:rsidR="007B3B1C" w:rsidRDefault="00795633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E805053" w14:textId="77777777" w:rsidR="007B3B1C" w:rsidRDefault="00795633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B963F3F" w14:textId="77777777" w:rsidR="007B3B1C" w:rsidRDefault="00795633">
      <w:pPr>
        <w:spacing w:after="11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E05051E" w14:textId="77777777" w:rsidR="00A212AF" w:rsidRDefault="00795633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A21056" w14:textId="77777777" w:rsidR="00A212AF" w:rsidRDefault="00A212AF">
      <w:pPr>
        <w:spacing w:after="0"/>
        <w:rPr>
          <w:rFonts w:ascii="Arial" w:eastAsia="Arial" w:hAnsi="Arial" w:cs="Arial"/>
          <w:b/>
          <w:sz w:val="24"/>
        </w:rPr>
      </w:pPr>
    </w:p>
    <w:p w14:paraId="0159952D" w14:textId="77777777" w:rsidR="007B3B1C" w:rsidRDefault="00795633">
      <w:pPr>
        <w:spacing w:after="9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BCA255" w14:textId="77777777" w:rsidR="007B3B1C" w:rsidRDefault="007956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100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INSTRUCTIONAL PROGRAM COMPONENT FOR TRANSITIONS </w:t>
      </w:r>
      <w:r>
        <w:rPr>
          <w:rFonts w:ascii="Arial" w:eastAsia="Arial" w:hAnsi="Arial" w:cs="Arial"/>
          <w:sz w:val="24"/>
        </w:rPr>
        <w:t xml:space="preserve"> </w:t>
      </w:r>
    </w:p>
    <w:p w14:paraId="33AC7F8E" w14:textId="77777777" w:rsidR="007B3B1C" w:rsidRDefault="007956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 w:line="242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Provide instruction aimed at addressing the gaps in knowledge and skills needed for success in postsecondary education and the workplace (e.g., algebra, reading, critical thinking).  </w:t>
      </w:r>
    </w:p>
    <w:p w14:paraId="7BA6465F" w14:textId="77777777" w:rsidR="007B3B1C" w:rsidRDefault="007956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/>
        <w:ind w:left="-15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4E697E8" w14:textId="77777777" w:rsidR="007B3B1C" w:rsidRDefault="0079563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245" w:type="dxa"/>
        <w:tblInd w:w="-365" w:type="dxa"/>
        <w:tblCellMar>
          <w:top w:w="168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13245"/>
      </w:tblGrid>
      <w:tr w:rsidR="007B3B1C" w14:paraId="25EF0114" w14:textId="77777777" w:rsidTr="00312E41">
        <w:trPr>
          <w:trHeight w:val="5726"/>
        </w:trPr>
        <w:tc>
          <w:tcPr>
            <w:tcW w:w="1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09E" w14:textId="77777777" w:rsidR="007B3B1C" w:rsidRDefault="00795633">
            <w:pPr>
              <w:spacing w:after="100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Develop and Deliver Instructional Program that Facilitates Student Transitions: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7D78DEFF" w14:textId="77777777" w:rsidR="007B3B1C" w:rsidRDefault="00795633">
            <w:pPr>
              <w:spacing w:after="48"/>
            </w:pPr>
            <w:r>
              <w:rPr>
                <w:rFonts w:ascii="Arial" w:eastAsia="Arial" w:hAnsi="Arial" w:cs="Arial"/>
                <w:sz w:val="24"/>
              </w:rPr>
              <w:t xml:space="preserve">Provide an instructional program that is more immediately relevant to students’ educational/career interests. </w:t>
            </w:r>
          </w:p>
          <w:p w14:paraId="210FE648" w14:textId="77777777" w:rsidR="007B3B1C" w:rsidRDefault="0079563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Establish a structure that supports: monitoring time, tracking attendance, enforcing punctuality, managed </w:t>
            </w:r>
          </w:p>
          <w:p w14:paraId="7A02258E" w14:textId="77777777" w:rsidR="007B3B1C" w:rsidRDefault="00795633" w:rsidP="009432CB">
            <w:pPr>
              <w:spacing w:after="106" w:line="216" w:lineRule="auto"/>
              <w:ind w:left="720" w:right="830"/>
            </w:pPr>
            <w:r>
              <w:rPr>
                <w:rFonts w:ascii="Arial" w:eastAsia="Arial" w:hAnsi="Arial" w:cs="Arial"/>
                <w:sz w:val="24"/>
              </w:rPr>
              <w:t>enrollment, flexible scheduling, Saturday classes, class terms</w:t>
            </w:r>
            <w:r w:rsidR="00A212AF">
              <w:rPr>
                <w:sz w:val="1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, and/or classes organized by subject or</w:t>
            </w:r>
            <w:r w:rsidR="00A212AF">
              <w:rPr>
                <w:rFonts w:ascii="Arial" w:eastAsia="Arial" w:hAnsi="Arial" w:cs="Arial"/>
                <w:sz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</w:rPr>
              <w:t xml:space="preserve">evel. </w:t>
            </w:r>
          </w:p>
          <w:p w14:paraId="3F67AAC7" w14:textId="77777777" w:rsidR="007B3B1C" w:rsidRDefault="00795633">
            <w:pPr>
              <w:numPr>
                <w:ilvl w:val="0"/>
                <w:numId w:val="2"/>
              </w:numPr>
              <w:spacing w:after="62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Identify and implement modularized, accelerated, contextualized curricula needed for entry into postsecondary education and the workplace.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70F673E" w14:textId="77777777" w:rsidR="007B3B1C" w:rsidRDefault="00795633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Provide academic content support and monitoring, such as coaching or individualized instruction. </w:t>
            </w:r>
          </w:p>
          <w:p w14:paraId="74F86BEB" w14:textId="77777777" w:rsidR="007B3B1C" w:rsidRDefault="00795633">
            <w:pPr>
              <w:numPr>
                <w:ilvl w:val="0"/>
                <w:numId w:val="2"/>
              </w:numPr>
              <w:spacing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Build a culture of community with students in the program through group methods (e.g., learning communities, peer to peer mentoring, cohorts).  </w:t>
            </w:r>
          </w:p>
          <w:p w14:paraId="795111A0" w14:textId="77777777" w:rsidR="007B3B1C" w:rsidRDefault="0079563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1E1FB0" w14:textId="77777777" w:rsidR="007B3B1C" w:rsidRDefault="00795633">
            <w:pPr>
              <w:spacing w:after="43"/>
            </w:pPr>
            <w:r>
              <w:rPr>
                <w:rFonts w:ascii="Arial" w:eastAsia="Arial" w:hAnsi="Arial" w:cs="Arial"/>
                <w:sz w:val="24"/>
              </w:rPr>
              <w:t xml:space="preserve">Facilitate student access to career pathways or other features of postsecondary education and training. </w:t>
            </w:r>
          </w:p>
          <w:p w14:paraId="3CB26074" w14:textId="77777777" w:rsidR="007B3B1C" w:rsidRDefault="00795633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Embed industry recognized certificates/credentials throughout transition process. </w:t>
            </w:r>
          </w:p>
          <w:p w14:paraId="222B20DA" w14:textId="77777777" w:rsidR="007B3B1C" w:rsidRDefault="00795633">
            <w:pPr>
              <w:numPr>
                <w:ilvl w:val="0"/>
                <w:numId w:val="2"/>
              </w:numPr>
              <w:spacing w:after="10"/>
              <w:ind w:hanging="360"/>
            </w:pPr>
            <w:r>
              <w:rPr>
                <w:rFonts w:ascii="Arial" w:eastAsia="Arial" w:hAnsi="Arial" w:cs="Arial"/>
                <w:sz w:val="24"/>
              </w:rPr>
              <w:t>Utilize evidence-based methods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to increase student persistence and retention. </w:t>
            </w:r>
          </w:p>
          <w:p w14:paraId="6B981572" w14:textId="77777777" w:rsidR="007B3B1C" w:rsidRDefault="0079563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7BB6D7" w14:textId="77777777" w:rsidR="007B3B1C" w:rsidRDefault="00795633">
            <w:pPr>
              <w:spacing w:after="43"/>
            </w:pPr>
            <w:r>
              <w:rPr>
                <w:rFonts w:ascii="Arial" w:eastAsia="Arial" w:hAnsi="Arial" w:cs="Arial"/>
                <w:sz w:val="24"/>
              </w:rPr>
              <w:t xml:space="preserve">Determine desired outcomes for the classroom </w:t>
            </w:r>
          </w:p>
          <w:p w14:paraId="59223CD5" w14:textId="77777777" w:rsidR="007B3B1C" w:rsidRDefault="00795633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rFonts w:ascii="Arial" w:eastAsia="Arial" w:hAnsi="Arial" w:cs="Arial"/>
                <w:sz w:val="24"/>
              </w:rPr>
              <w:t>Define how data will be collected, stored, tracked, and reported.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1849258" w14:textId="77777777" w:rsidR="007B3B1C" w:rsidRDefault="0079563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>Ascertain how data should be analyzed to revise classroom outcomes to better address the overall program needs.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5D091E33" w14:textId="77777777" w:rsidR="007B3B1C" w:rsidRDefault="0079563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D884BC" w14:textId="77777777" w:rsidR="007B3B1C" w:rsidRDefault="00312E41">
      <w:pPr>
        <w:spacing w:after="0"/>
      </w:pPr>
      <w:r>
        <w:rPr>
          <w:rFonts w:ascii="Arial" w:eastAsia="Arial" w:hAnsi="Arial" w:cs="Arial"/>
          <w:sz w:val="24"/>
        </w:rPr>
        <w:t>____________________</w:t>
      </w:r>
      <w:r w:rsidR="00795633">
        <w:rPr>
          <w:strike/>
        </w:rPr>
        <w:t xml:space="preserve">                                                            </w:t>
      </w:r>
      <w:r w:rsidR="00795633">
        <w:t xml:space="preserve"> </w:t>
      </w:r>
    </w:p>
    <w:p w14:paraId="2A6903F4" w14:textId="77777777" w:rsidR="007B3B1C" w:rsidRDefault="00795633">
      <w:pPr>
        <w:numPr>
          <w:ilvl w:val="0"/>
          <w:numId w:val="1"/>
        </w:numPr>
        <w:spacing w:after="3" w:line="257" w:lineRule="auto"/>
        <w:ind w:right="551" w:hanging="120"/>
      </w:pPr>
      <w:r>
        <w:rPr>
          <w:rFonts w:ascii="Arial" w:eastAsia="Arial" w:hAnsi="Arial" w:cs="Arial"/>
          <w:sz w:val="18"/>
        </w:rPr>
        <w:t xml:space="preserve">Class terms – as defined to be classes of certain lengths such as 10-week classes or 15-week classes. </w:t>
      </w:r>
    </w:p>
    <w:p w14:paraId="19C97173" w14:textId="77777777" w:rsidR="007B3B1C" w:rsidRPr="00A212AF" w:rsidRDefault="00795633">
      <w:pPr>
        <w:numPr>
          <w:ilvl w:val="0"/>
          <w:numId w:val="1"/>
        </w:numPr>
        <w:spacing w:after="3" w:line="257" w:lineRule="auto"/>
        <w:ind w:right="551" w:hanging="120"/>
      </w:pPr>
      <w:r>
        <w:rPr>
          <w:rFonts w:ascii="Arial" w:eastAsia="Arial" w:hAnsi="Arial" w:cs="Arial"/>
          <w:sz w:val="18"/>
        </w:rPr>
        <w:t xml:space="preserve">Evidence-based methods refers to the use of research and scientific studies as a base for determining the best practices in the field. The methods chosen for the classroom should be those that have been identified through research (methodological sound, quantitative and/or qualitative studies) as having positive impact on learners and the learning environment. </w:t>
      </w:r>
    </w:p>
    <w:p w14:paraId="6011F908" w14:textId="77777777" w:rsidR="00A212AF" w:rsidRDefault="00A212AF" w:rsidP="00A212AF">
      <w:pPr>
        <w:spacing w:after="3" w:line="257" w:lineRule="auto"/>
        <w:ind w:right="551"/>
        <w:rPr>
          <w:rFonts w:ascii="Arial" w:eastAsia="Arial" w:hAnsi="Arial" w:cs="Arial"/>
          <w:sz w:val="18"/>
        </w:rPr>
      </w:pPr>
    </w:p>
    <w:p w14:paraId="2C8B80D9" w14:textId="77777777" w:rsidR="00A212AF" w:rsidRDefault="00A212AF" w:rsidP="00A212AF">
      <w:pPr>
        <w:spacing w:after="3" w:line="257" w:lineRule="auto"/>
        <w:ind w:right="551"/>
        <w:rPr>
          <w:rFonts w:ascii="Arial" w:eastAsia="Arial" w:hAnsi="Arial" w:cs="Arial"/>
          <w:sz w:val="18"/>
        </w:rPr>
      </w:pPr>
    </w:p>
    <w:p w14:paraId="7EDACF9B" w14:textId="77777777" w:rsidR="00A212AF" w:rsidRDefault="00A212AF" w:rsidP="00A212AF">
      <w:pPr>
        <w:spacing w:after="3" w:line="257" w:lineRule="auto"/>
        <w:ind w:right="551"/>
      </w:pPr>
    </w:p>
    <w:p w14:paraId="2B5B7827" w14:textId="77777777" w:rsidR="005A41F5" w:rsidRDefault="005A41F5" w:rsidP="00A212AF">
      <w:pPr>
        <w:spacing w:after="3" w:line="257" w:lineRule="auto"/>
        <w:ind w:right="551"/>
      </w:pPr>
    </w:p>
    <w:p w14:paraId="6F1D39F8" w14:textId="77777777" w:rsidR="00312E41" w:rsidRDefault="00312E41" w:rsidP="00A212AF">
      <w:pPr>
        <w:spacing w:after="3" w:line="257" w:lineRule="auto"/>
        <w:ind w:right="551"/>
      </w:pPr>
    </w:p>
    <w:p w14:paraId="4F45DC13" w14:textId="77777777" w:rsidR="007B3B1C" w:rsidRDefault="00795633" w:rsidP="005A41F5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  <w:r w:rsidRPr="005A41F5">
        <w:rPr>
          <w:sz w:val="28"/>
        </w:rPr>
        <w:t xml:space="preserve">SUPPORT SERVICES FOR TRANSITIONS  </w:t>
      </w:r>
    </w:p>
    <w:p w14:paraId="46189DD8" w14:textId="77777777" w:rsidR="007B3B1C" w:rsidRDefault="00795633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 w:line="240" w:lineRule="auto"/>
      </w:pPr>
      <w:r>
        <w:rPr>
          <w:rFonts w:ascii="Arial" w:eastAsia="Arial" w:hAnsi="Arial" w:cs="Arial"/>
          <w:i/>
          <w:sz w:val="24"/>
        </w:rPr>
        <w:t>The following set of supports is viewed as important and generally applicable across A</w:t>
      </w:r>
      <w:r w:rsidR="009432CB">
        <w:rPr>
          <w:rFonts w:ascii="Arial" w:eastAsia="Arial" w:hAnsi="Arial" w:cs="Arial"/>
          <w:i/>
          <w:sz w:val="24"/>
        </w:rPr>
        <w:t>spire</w:t>
      </w:r>
      <w:r>
        <w:rPr>
          <w:rFonts w:ascii="Arial" w:eastAsia="Arial" w:hAnsi="Arial" w:cs="Arial"/>
          <w:i/>
          <w:sz w:val="24"/>
        </w:rPr>
        <w:t xml:space="preserve">, but specific supports can                     also be developed and implemented for transitions work in the areas of career assessment and counseling, as well as            advising when the student has enrolled in a postsecondary option.   </w:t>
      </w:r>
    </w:p>
    <w:p w14:paraId="396C323F" w14:textId="77777777" w:rsidR="007B3B1C" w:rsidRDefault="0079563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590" w:type="dxa"/>
        <w:tblInd w:w="-36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="007B3B1C" w14:paraId="56E00D02" w14:textId="77777777" w:rsidTr="00312E41">
        <w:trPr>
          <w:trHeight w:val="7843"/>
        </w:trPr>
        <w:tc>
          <w:tcPr>
            <w:tcW w:w="1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7F5F" w14:textId="77777777" w:rsidR="007B3B1C" w:rsidRPr="00312E41" w:rsidRDefault="00795633">
            <w:pPr>
              <w:spacing w:after="105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 w:rsidRPr="00312E41">
              <w:rPr>
                <w:rFonts w:ascii="Arial" w:eastAsia="Arial" w:hAnsi="Arial" w:cs="Arial"/>
                <w:b/>
                <w:u w:val="single" w:color="000000"/>
              </w:rPr>
              <w:t>Build Awareness of Postsecondary and Work Options</w:t>
            </w:r>
            <w:r w:rsidRPr="00312E41">
              <w:rPr>
                <w:rFonts w:ascii="Arial" w:eastAsia="Arial" w:hAnsi="Arial" w:cs="Arial"/>
                <w:b/>
              </w:rPr>
              <w:t xml:space="preserve"> </w:t>
            </w:r>
          </w:p>
          <w:p w14:paraId="07B302E2" w14:textId="77777777" w:rsidR="007B3B1C" w:rsidRPr="00312E41" w:rsidRDefault="00795633">
            <w:pPr>
              <w:spacing w:after="43"/>
            </w:pPr>
            <w:r w:rsidRPr="00312E41">
              <w:rPr>
                <w:rFonts w:ascii="Arial" w:eastAsia="Arial" w:hAnsi="Arial" w:cs="Arial"/>
              </w:rPr>
              <w:t>Identify and establish relationships with key student support services within the organization/community/region.</w:t>
            </w:r>
            <w:r w:rsidRPr="00312E41">
              <w:rPr>
                <w:rFonts w:ascii="Arial" w:eastAsia="Arial" w:hAnsi="Arial" w:cs="Arial"/>
                <w:b/>
              </w:rPr>
              <w:t xml:space="preserve"> </w:t>
            </w:r>
          </w:p>
          <w:p w14:paraId="79824162" w14:textId="77777777" w:rsidR="007B3B1C" w:rsidRPr="00312E41" w:rsidRDefault="00795633">
            <w:pPr>
              <w:numPr>
                <w:ilvl w:val="0"/>
                <w:numId w:val="3"/>
              </w:numPr>
              <w:spacing w:after="49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Facilitate cross-training of resource partners while identifying key partners and clarifying their roles. </w:t>
            </w:r>
          </w:p>
          <w:p w14:paraId="15135007" w14:textId="77777777" w:rsidR="007B3B1C" w:rsidRPr="00312E41" w:rsidRDefault="00795633">
            <w:pPr>
              <w:numPr>
                <w:ilvl w:val="0"/>
                <w:numId w:val="3"/>
              </w:numPr>
              <w:spacing w:line="243" w:lineRule="auto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Sustain and work to expand partnerships such as college access programs, local One-Stops, employers, and chambers of commerce. </w:t>
            </w:r>
          </w:p>
          <w:p w14:paraId="20F1E719" w14:textId="77777777" w:rsidR="007B3B1C" w:rsidRPr="00312E41" w:rsidRDefault="00795633">
            <w:pPr>
              <w:ind w:left="720"/>
            </w:pPr>
            <w:r w:rsidRPr="00312E41">
              <w:rPr>
                <w:rFonts w:ascii="Arial" w:eastAsia="Arial" w:hAnsi="Arial" w:cs="Arial"/>
              </w:rPr>
              <w:t xml:space="preserve"> </w:t>
            </w:r>
          </w:p>
          <w:p w14:paraId="7B3B79A7" w14:textId="77777777" w:rsidR="007B3B1C" w:rsidRPr="00312E41" w:rsidRDefault="00795633">
            <w:pPr>
              <w:spacing w:after="43"/>
            </w:pPr>
            <w:r w:rsidRPr="00312E41">
              <w:rPr>
                <w:rFonts w:ascii="Arial" w:eastAsia="Arial" w:hAnsi="Arial" w:cs="Arial"/>
              </w:rPr>
              <w:t xml:space="preserve">Conduct labor market analysis for employment trends/career pathways needed. </w:t>
            </w:r>
          </w:p>
          <w:p w14:paraId="33B6F820" w14:textId="77777777" w:rsidR="007B3B1C" w:rsidRPr="00312E41" w:rsidRDefault="00795633">
            <w:pPr>
              <w:numPr>
                <w:ilvl w:val="0"/>
                <w:numId w:val="3"/>
              </w:numPr>
              <w:spacing w:after="48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Target high employment demand and growth sectors </w:t>
            </w:r>
          </w:p>
          <w:p w14:paraId="0D59B23A" w14:textId="77777777" w:rsidR="007B3B1C" w:rsidRPr="00312E41" w:rsidRDefault="00795633">
            <w:pPr>
              <w:numPr>
                <w:ilvl w:val="0"/>
                <w:numId w:val="3"/>
              </w:numPr>
              <w:ind w:hanging="360"/>
            </w:pPr>
            <w:r w:rsidRPr="00312E41">
              <w:rPr>
                <w:rFonts w:ascii="Arial" w:eastAsia="Arial" w:hAnsi="Arial" w:cs="Arial"/>
              </w:rPr>
              <w:t xml:space="preserve">Share results with partners </w:t>
            </w:r>
          </w:p>
          <w:p w14:paraId="4517234D" w14:textId="77777777" w:rsidR="007B3B1C" w:rsidRPr="00312E41" w:rsidRDefault="00795633">
            <w:pPr>
              <w:ind w:left="720"/>
            </w:pPr>
            <w:r w:rsidRPr="00312E41">
              <w:rPr>
                <w:rFonts w:ascii="Arial" w:eastAsia="Arial" w:hAnsi="Arial" w:cs="Arial"/>
              </w:rPr>
              <w:t xml:space="preserve"> </w:t>
            </w:r>
          </w:p>
          <w:p w14:paraId="23B21EB6" w14:textId="77777777" w:rsidR="007B3B1C" w:rsidRPr="00312E41" w:rsidRDefault="00795633">
            <w:pPr>
              <w:spacing w:after="43"/>
            </w:pPr>
            <w:r w:rsidRPr="00312E41">
              <w:rPr>
                <w:rFonts w:ascii="Arial" w:eastAsia="Arial" w:hAnsi="Arial" w:cs="Arial"/>
              </w:rPr>
              <w:t xml:space="preserve">Provide students with access to postsecondary information, resources and services.  </w:t>
            </w:r>
          </w:p>
          <w:p w14:paraId="0350E883" w14:textId="77777777" w:rsidR="007B3B1C" w:rsidRPr="00312E41" w:rsidRDefault="00795633">
            <w:pPr>
              <w:numPr>
                <w:ilvl w:val="0"/>
                <w:numId w:val="3"/>
              </w:numPr>
              <w:spacing w:after="49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Utilize access points such as the </w:t>
            </w:r>
            <w:r w:rsidRPr="00312E41">
              <w:rPr>
                <w:rFonts w:ascii="Arial" w:eastAsia="Arial" w:hAnsi="Arial" w:cs="Arial"/>
                <w:color w:val="0000FF"/>
                <w:u w:val="single" w:color="0000FF"/>
              </w:rPr>
              <w:t>www.ohioable.org</w:t>
            </w:r>
            <w:r w:rsidRPr="00312E41">
              <w:rPr>
                <w:rFonts w:ascii="Arial" w:eastAsia="Arial" w:hAnsi="Arial" w:cs="Arial"/>
              </w:rPr>
              <w:t xml:space="preserve"> and </w:t>
            </w:r>
            <w:r w:rsidRPr="00312E41">
              <w:rPr>
                <w:rFonts w:ascii="Arial" w:eastAsia="Arial" w:hAnsi="Arial" w:cs="Arial"/>
                <w:color w:val="0000FF"/>
                <w:u w:val="single" w:color="0000FF"/>
              </w:rPr>
              <w:t>www.ohiomeansjobs.com</w:t>
            </w:r>
            <w:r w:rsidRPr="00312E41">
              <w:rPr>
                <w:rFonts w:ascii="Arial" w:eastAsia="Arial" w:hAnsi="Arial" w:cs="Arial"/>
              </w:rPr>
              <w:t xml:space="preserve">.   </w:t>
            </w:r>
          </w:p>
          <w:p w14:paraId="51F4AC80" w14:textId="77777777" w:rsidR="007B3B1C" w:rsidRPr="00312E41" w:rsidRDefault="00795633">
            <w:pPr>
              <w:numPr>
                <w:ilvl w:val="0"/>
                <w:numId w:val="3"/>
              </w:numPr>
              <w:spacing w:line="243" w:lineRule="auto"/>
              <w:ind w:hanging="360"/>
            </w:pPr>
            <w:r w:rsidRPr="00312E41">
              <w:rPr>
                <w:rFonts w:ascii="Arial" w:eastAsia="Arial" w:hAnsi="Arial" w:cs="Arial"/>
              </w:rPr>
              <w:t>Explore different career profiles and entrance requirements, programs of study, and credentials for college majors and career fields.</w:t>
            </w:r>
            <w:r w:rsidRPr="00312E41">
              <w:rPr>
                <w:rFonts w:ascii="Arial" w:eastAsia="Arial" w:hAnsi="Arial" w:cs="Arial"/>
                <w:b/>
              </w:rPr>
              <w:t xml:space="preserve"> </w:t>
            </w:r>
          </w:p>
          <w:p w14:paraId="328A8C36" w14:textId="77777777" w:rsidR="007B3B1C" w:rsidRPr="00312E41" w:rsidRDefault="00795633">
            <w:pPr>
              <w:ind w:left="720"/>
            </w:pPr>
            <w:r w:rsidRPr="00312E41">
              <w:rPr>
                <w:rFonts w:ascii="Arial" w:eastAsia="Arial" w:hAnsi="Arial" w:cs="Arial"/>
                <w:b/>
              </w:rPr>
              <w:t xml:space="preserve"> </w:t>
            </w:r>
          </w:p>
          <w:p w14:paraId="0831B8B4" w14:textId="77777777" w:rsidR="007B3B1C" w:rsidRPr="00312E41" w:rsidRDefault="00795633">
            <w:pPr>
              <w:spacing w:after="43"/>
            </w:pPr>
            <w:r w:rsidRPr="00312E41">
              <w:rPr>
                <w:rFonts w:ascii="Arial" w:eastAsia="Arial" w:hAnsi="Arial" w:cs="Arial"/>
              </w:rPr>
              <w:t xml:space="preserve">Incorporate career, individual, and/or group advising throughout instruction. </w:t>
            </w:r>
          </w:p>
          <w:p w14:paraId="768796FF" w14:textId="77777777" w:rsidR="007B3B1C" w:rsidRPr="00312E41" w:rsidRDefault="00795633">
            <w:pPr>
              <w:numPr>
                <w:ilvl w:val="0"/>
                <w:numId w:val="3"/>
              </w:numPr>
              <w:spacing w:line="243" w:lineRule="auto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Tailor advising to individual student’s needs based on career assessment information using databases such as Ohio Career Information System (OCIS), Economic Modeling Specialists Inc. (EMSI), or other valid systems.  </w:t>
            </w:r>
          </w:p>
          <w:p w14:paraId="4AB8AB06" w14:textId="77777777" w:rsidR="007B3B1C" w:rsidRPr="00312E41" w:rsidRDefault="00795633">
            <w:r w:rsidRPr="00312E41">
              <w:rPr>
                <w:rFonts w:ascii="Arial" w:eastAsia="Arial" w:hAnsi="Arial" w:cs="Arial"/>
              </w:rPr>
              <w:t xml:space="preserve"> </w:t>
            </w:r>
          </w:p>
          <w:p w14:paraId="2985DEB8" w14:textId="77777777" w:rsidR="007B3B1C" w:rsidRPr="00312E41" w:rsidRDefault="00795633">
            <w:pPr>
              <w:spacing w:after="105"/>
            </w:pPr>
            <w:r w:rsidRPr="00312E41">
              <w:rPr>
                <w:rFonts w:ascii="Arial" w:eastAsia="Arial" w:hAnsi="Arial" w:cs="Arial"/>
                <w:b/>
                <w:u w:val="single" w:color="000000"/>
              </w:rPr>
              <w:t>Provide Comprehensive Goal-Setting Activities</w:t>
            </w:r>
            <w:r w:rsidRPr="00312E41">
              <w:rPr>
                <w:rFonts w:ascii="Arial" w:eastAsia="Arial" w:hAnsi="Arial" w:cs="Arial"/>
                <w:b/>
              </w:rPr>
              <w:t xml:space="preserve"> </w:t>
            </w:r>
          </w:p>
          <w:p w14:paraId="0FBE1502" w14:textId="77777777" w:rsidR="007B3B1C" w:rsidRPr="00312E41" w:rsidRDefault="00795633">
            <w:pPr>
              <w:spacing w:after="72" w:line="238" w:lineRule="auto"/>
              <w:ind w:right="215"/>
            </w:pPr>
            <w:r w:rsidRPr="00312E41">
              <w:rPr>
                <w:rFonts w:ascii="Arial" w:eastAsia="Arial" w:hAnsi="Arial" w:cs="Arial"/>
              </w:rPr>
              <w:t xml:space="preserve">Set realistic long- and short-term transition goals that take into consideration the student’s academic achievements and assessment scores.  </w:t>
            </w:r>
          </w:p>
          <w:p w14:paraId="0A38B13E" w14:textId="77777777" w:rsidR="007B3B1C" w:rsidRPr="00312E41" w:rsidRDefault="00795633">
            <w:pPr>
              <w:numPr>
                <w:ilvl w:val="0"/>
                <w:numId w:val="3"/>
              </w:numPr>
              <w:spacing w:after="49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Use appropriate tools for examining goals, such as SMART criteria. </w:t>
            </w:r>
          </w:p>
          <w:p w14:paraId="3BF43DE3" w14:textId="77777777" w:rsidR="007B3B1C" w:rsidRPr="00312E41" w:rsidRDefault="00795633">
            <w:pPr>
              <w:numPr>
                <w:ilvl w:val="0"/>
                <w:numId w:val="3"/>
              </w:numPr>
              <w:spacing w:after="71" w:line="238" w:lineRule="auto"/>
              <w:ind w:hanging="360"/>
            </w:pPr>
            <w:r w:rsidRPr="00312E41">
              <w:rPr>
                <w:rFonts w:ascii="Arial" w:eastAsia="Arial" w:hAnsi="Arial" w:cs="Arial"/>
              </w:rPr>
              <w:t xml:space="preserve">Help students understand the need to prepare beyond ASE/ESOL NRS Level 6 (i.e., TABE 12.9) and recognize options beyond the GED as an end goal. </w:t>
            </w:r>
          </w:p>
          <w:p w14:paraId="23F7074E" w14:textId="77777777" w:rsidR="007B3B1C" w:rsidRDefault="00795633">
            <w:pPr>
              <w:numPr>
                <w:ilvl w:val="0"/>
                <w:numId w:val="3"/>
              </w:numPr>
              <w:ind w:hanging="360"/>
            </w:pPr>
            <w:r w:rsidRPr="00312E41">
              <w:rPr>
                <w:rFonts w:ascii="Arial" w:eastAsia="Arial" w:hAnsi="Arial" w:cs="Arial"/>
              </w:rPr>
              <w:t>Review goals on a regular basis.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6C5FDF1D" w14:textId="77777777" w:rsidR="00A212AF" w:rsidRDefault="00A212AF">
      <w:pPr>
        <w:spacing w:after="0"/>
        <w:rPr>
          <w:rFonts w:ascii="Arial" w:eastAsia="Arial" w:hAnsi="Arial" w:cs="Arial"/>
          <w:sz w:val="24"/>
        </w:rPr>
      </w:pPr>
    </w:p>
    <w:p w14:paraId="34FF5020" w14:textId="77777777" w:rsidR="00A212AF" w:rsidRDefault="00A212AF">
      <w:pPr>
        <w:spacing w:after="0"/>
        <w:rPr>
          <w:rFonts w:ascii="Arial" w:eastAsia="Arial" w:hAnsi="Arial" w:cs="Arial"/>
          <w:sz w:val="24"/>
        </w:rPr>
      </w:pPr>
    </w:p>
    <w:p w14:paraId="41B1A761" w14:textId="77777777" w:rsidR="00312E41" w:rsidRDefault="00312E41">
      <w:pPr>
        <w:spacing w:after="0"/>
        <w:rPr>
          <w:rFonts w:ascii="Arial" w:eastAsia="Arial" w:hAnsi="Arial" w:cs="Arial"/>
          <w:sz w:val="24"/>
        </w:rPr>
      </w:pPr>
    </w:p>
    <w:p w14:paraId="576F0037" w14:textId="77777777" w:rsidR="00312E41" w:rsidRDefault="00312E41">
      <w:pPr>
        <w:spacing w:after="0"/>
        <w:rPr>
          <w:rFonts w:ascii="Arial" w:eastAsia="Arial" w:hAnsi="Arial" w:cs="Arial"/>
          <w:sz w:val="24"/>
        </w:rPr>
      </w:pPr>
    </w:p>
    <w:p w14:paraId="58681EDD" w14:textId="77777777" w:rsidR="007B3B1C" w:rsidRDefault="0079563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74D8CE" w14:textId="77777777" w:rsidR="007B3B1C" w:rsidRDefault="007956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/>
        <w:ind w:left="-5" w:right="633" w:hanging="10"/>
      </w:pPr>
      <w:r>
        <w:rPr>
          <w:rFonts w:ascii="Arial" w:eastAsia="Arial" w:hAnsi="Arial" w:cs="Arial"/>
          <w:b/>
          <w:sz w:val="24"/>
        </w:rPr>
        <w:t xml:space="preserve">COLLABORATIONS FOR TRANSITIONS </w:t>
      </w:r>
      <w:r>
        <w:rPr>
          <w:rFonts w:ascii="Arial" w:eastAsia="Arial" w:hAnsi="Arial" w:cs="Arial"/>
          <w:sz w:val="24"/>
        </w:rPr>
        <w:t xml:space="preserve"> </w:t>
      </w:r>
    </w:p>
    <w:p w14:paraId="76AE2C7A" w14:textId="77777777" w:rsidR="007B3B1C" w:rsidRDefault="007956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1A1A1"/>
        <w:spacing w:after="0" w:line="242" w:lineRule="auto"/>
        <w:ind w:left="-5" w:right="633" w:hanging="10"/>
      </w:pPr>
      <w:r>
        <w:rPr>
          <w:rFonts w:ascii="Arial" w:eastAsia="Arial" w:hAnsi="Arial" w:cs="Arial"/>
          <w:i/>
          <w:sz w:val="24"/>
        </w:rPr>
        <w:t>Participate in collaborative activities to connect with agencies that can support A</w:t>
      </w:r>
      <w:r w:rsidR="009432CB">
        <w:rPr>
          <w:rFonts w:ascii="Arial" w:eastAsia="Arial" w:hAnsi="Arial" w:cs="Arial"/>
          <w:i/>
          <w:sz w:val="24"/>
        </w:rPr>
        <w:t>spire</w:t>
      </w:r>
      <w:r>
        <w:rPr>
          <w:rFonts w:ascii="Arial" w:eastAsia="Arial" w:hAnsi="Arial" w:cs="Arial"/>
          <w:i/>
          <w:sz w:val="24"/>
        </w:rPr>
        <w:t xml:space="preserve"> students in meeting their goal of</w:t>
      </w:r>
      <w:r w:rsidR="00312E41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completing postsecondary education or workforce training. </w:t>
      </w:r>
    </w:p>
    <w:p w14:paraId="12ED35C4" w14:textId="77777777" w:rsidR="007B3B1C" w:rsidRDefault="00795633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tbl>
      <w:tblPr>
        <w:tblStyle w:val="TableGrid"/>
        <w:tblW w:w="13505" w:type="dxa"/>
        <w:tblInd w:w="-548" w:type="dxa"/>
        <w:tblCellMar>
          <w:top w:w="4" w:type="dxa"/>
          <w:left w:w="89" w:type="dxa"/>
          <w:right w:w="459" w:type="dxa"/>
        </w:tblCellMar>
        <w:tblLook w:val="04A0" w:firstRow="1" w:lastRow="0" w:firstColumn="1" w:lastColumn="0" w:noHBand="0" w:noVBand="1"/>
      </w:tblPr>
      <w:tblGrid>
        <w:gridCol w:w="13505"/>
      </w:tblGrid>
      <w:tr w:rsidR="007B3B1C" w14:paraId="63A9CD8B" w14:textId="77777777" w:rsidTr="00312E41">
        <w:trPr>
          <w:trHeight w:val="6226"/>
        </w:trPr>
        <w:tc>
          <w:tcPr>
            <w:tcW w:w="1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53FB" w14:textId="77777777" w:rsidR="007B3B1C" w:rsidRDefault="00795633">
            <w:pPr>
              <w:spacing w:after="5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3F868B5E" w14:textId="77777777" w:rsidR="007B3B1C" w:rsidRDefault="00795633">
            <w:pPr>
              <w:spacing w:after="105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Develop partnerships with other agencies to access comprehensive support services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79D5E0E" w14:textId="77777777" w:rsidR="007B3B1C" w:rsidRDefault="00795633">
            <w:pPr>
              <w:spacing w:after="43"/>
            </w:pPr>
            <w:r>
              <w:rPr>
                <w:rFonts w:ascii="Arial" w:eastAsia="Arial" w:hAnsi="Arial" w:cs="Arial"/>
                <w:sz w:val="24"/>
              </w:rPr>
              <w:t xml:space="preserve">Engage a team of cross-agency partners at the regional/local levels. </w:t>
            </w:r>
          </w:p>
          <w:p w14:paraId="5B2E0ECF" w14:textId="77777777" w:rsidR="007B3B1C" w:rsidRDefault="00795633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rFonts w:ascii="Arial" w:eastAsia="Arial" w:hAnsi="Arial" w:cs="Arial"/>
                <w:sz w:val="24"/>
              </w:rPr>
              <w:t>Identify an A</w:t>
            </w:r>
            <w:r w:rsidR="009432CB">
              <w:rPr>
                <w:rFonts w:ascii="Arial" w:eastAsia="Arial" w:hAnsi="Arial" w:cs="Arial"/>
                <w:sz w:val="24"/>
              </w:rPr>
              <w:t>spire</w:t>
            </w:r>
            <w:r>
              <w:rPr>
                <w:rFonts w:ascii="Arial" w:eastAsia="Arial" w:hAnsi="Arial" w:cs="Arial"/>
                <w:sz w:val="24"/>
              </w:rPr>
              <w:t xml:space="preserve"> point person to coordinate day-to-day collaboration. </w:t>
            </w:r>
          </w:p>
          <w:p w14:paraId="10FAFF3B" w14:textId="77777777" w:rsidR="007B3B1C" w:rsidRDefault="00795633">
            <w:pPr>
              <w:numPr>
                <w:ilvl w:val="0"/>
                <w:numId w:val="4"/>
              </w:numPr>
              <w:spacing w:after="67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Examine and access resources from partners, such as public workforce development programs and/or private employers. </w:t>
            </w:r>
          </w:p>
          <w:p w14:paraId="081E40B8" w14:textId="77777777" w:rsidR="007B3B1C" w:rsidRDefault="00795633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Identify costs associated with the adult career pathway system and program development and operations. </w:t>
            </w:r>
          </w:p>
          <w:p w14:paraId="0BA594DC" w14:textId="77777777" w:rsidR="007B3B1C" w:rsidRDefault="00795633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Establish a shared vision, mission, set of goals and an implementation plan. </w:t>
            </w:r>
          </w:p>
          <w:p w14:paraId="6A4C705F" w14:textId="77777777" w:rsidR="007B3B1C" w:rsidRDefault="00795633">
            <w:pPr>
              <w:numPr>
                <w:ilvl w:val="0"/>
                <w:numId w:val="4"/>
              </w:numPr>
              <w:spacing w:after="48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Address any administrative barriers to cross-agency collaboration at state/local levels; seek solutions. </w:t>
            </w:r>
          </w:p>
          <w:p w14:paraId="117FCC0C" w14:textId="77777777" w:rsidR="007B3B1C" w:rsidRDefault="00795633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Link to partners that provide support for education and training (e.g., financial literacy, career exploration). </w:t>
            </w:r>
          </w:p>
          <w:p w14:paraId="6EC3B289" w14:textId="77777777" w:rsidR="007B3B1C" w:rsidRDefault="00795633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A52B3A" w14:textId="77777777" w:rsidR="007B3B1C" w:rsidRDefault="00795633">
            <w:pPr>
              <w:spacing w:after="63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Create a formal agreement/Memorandum of Understanding including assessment, referral and placement processes, responsibilities, etc. </w:t>
            </w:r>
          </w:p>
          <w:p w14:paraId="2F783AD8" w14:textId="77777777" w:rsidR="007B3B1C" w:rsidRDefault="00795633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Define partners’ roles/responsibilities and working relationships. </w:t>
            </w:r>
          </w:p>
          <w:p w14:paraId="32764417" w14:textId="77777777" w:rsidR="007B3B1C" w:rsidRDefault="00795633">
            <w:pPr>
              <w:numPr>
                <w:ilvl w:val="0"/>
                <w:numId w:val="4"/>
              </w:numPr>
              <w:spacing w:after="67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Determine and secure funding (cash and in-kind) as needed from public agencies, private foundations, and/or partner organizations. </w:t>
            </w:r>
          </w:p>
          <w:p w14:paraId="7E1EF51A" w14:textId="77777777" w:rsidR="007B3B1C" w:rsidRDefault="00795633">
            <w:pPr>
              <w:numPr>
                <w:ilvl w:val="0"/>
                <w:numId w:val="4"/>
              </w:numPr>
              <w:spacing w:after="26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Continuously review system procedures and revise as needed. </w:t>
            </w:r>
          </w:p>
          <w:p w14:paraId="04ADE2FB" w14:textId="77777777" w:rsidR="007B3B1C" w:rsidRDefault="00795633">
            <w:pPr>
              <w:numPr>
                <w:ilvl w:val="0"/>
                <w:numId w:val="4"/>
              </w:numPr>
              <w:spacing w:after="39"/>
              <w:ind w:hanging="360"/>
            </w:pPr>
            <w:r>
              <w:rPr>
                <w:rFonts w:ascii="Arial" w:eastAsia="Arial" w:hAnsi="Arial" w:cs="Arial"/>
                <w:sz w:val="24"/>
              </w:rPr>
              <w:t>Continue support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with students enrolled in postsecondary for one year.  </w:t>
            </w:r>
          </w:p>
          <w:p w14:paraId="1DE96677" w14:textId="77777777" w:rsidR="007B3B1C" w:rsidRDefault="00795633">
            <w:pPr>
              <w:numPr>
                <w:ilvl w:val="0"/>
                <w:numId w:val="4"/>
              </w:numPr>
              <w:spacing w:after="10"/>
              <w:ind w:hanging="360"/>
            </w:pPr>
            <w:r>
              <w:rPr>
                <w:rFonts w:ascii="Arial" w:eastAsia="Arial" w:hAnsi="Arial" w:cs="Arial"/>
                <w:sz w:val="24"/>
              </w:rPr>
              <w:t>Include at least one Bridge Program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with formal partnership. </w:t>
            </w:r>
          </w:p>
          <w:p w14:paraId="1E0CAE50" w14:textId="77777777" w:rsidR="007B3B1C" w:rsidRDefault="00795633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787E6B0" w14:textId="77777777" w:rsidR="007B3B1C" w:rsidRDefault="00795633" w:rsidP="009432CB">
            <w:pPr>
              <w:ind w:left="720" w:hanging="720"/>
            </w:pPr>
            <w:r>
              <w:rPr>
                <w:rFonts w:ascii="Arial" w:eastAsia="Arial" w:hAnsi="Arial" w:cs="Arial"/>
                <w:sz w:val="24"/>
              </w:rPr>
              <w:t>Maintain partnerships to address needs of A</w:t>
            </w:r>
            <w:r w:rsidR="009432CB">
              <w:rPr>
                <w:rFonts w:ascii="Arial" w:eastAsia="Arial" w:hAnsi="Arial" w:cs="Arial"/>
                <w:sz w:val="24"/>
              </w:rPr>
              <w:t>spire</w:t>
            </w:r>
            <w:r>
              <w:rPr>
                <w:rFonts w:ascii="Arial" w:eastAsia="Arial" w:hAnsi="Arial" w:cs="Arial"/>
                <w:sz w:val="24"/>
              </w:rPr>
              <w:t xml:space="preserve"> students (e.g., Rehabilitation Services Commission, child care facilities, one-stop centers, mental health facilities).  </w:t>
            </w:r>
          </w:p>
        </w:tc>
      </w:tr>
    </w:tbl>
    <w:p w14:paraId="043F4503" w14:textId="77777777" w:rsidR="007B3B1C" w:rsidRDefault="00795633" w:rsidP="00A212AF">
      <w:pPr>
        <w:spacing w:after="0"/>
      </w:pPr>
      <w:r>
        <w:rPr>
          <w:rFonts w:ascii="Arial" w:eastAsia="Arial" w:hAnsi="Arial" w:cs="Arial"/>
          <w:sz w:val="24"/>
        </w:rPr>
        <w:t xml:space="preserve">  ________________ </w:t>
      </w:r>
    </w:p>
    <w:p w14:paraId="0A472CB4" w14:textId="77777777" w:rsidR="007B3B1C" w:rsidRDefault="00795633" w:rsidP="00312E41">
      <w:pPr>
        <w:spacing w:after="0" w:line="240" w:lineRule="auto"/>
        <w:ind w:left="-5" w:hanging="10"/>
      </w:pPr>
      <w:r w:rsidRPr="00312E41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</w:rPr>
        <w:t xml:space="preserve"> Support – as defined to be academic intervention per the concurrent enrollment policy </w:t>
      </w:r>
    </w:p>
    <w:p w14:paraId="678ABA19" w14:textId="77777777" w:rsidR="00312E41" w:rsidRDefault="00795633" w:rsidP="00312E41">
      <w:pPr>
        <w:spacing w:after="0" w:line="240" w:lineRule="auto"/>
        <w:ind w:left="-5" w:hanging="10"/>
        <w:rPr>
          <w:rFonts w:ascii="Arial" w:eastAsia="Arial" w:hAnsi="Arial" w:cs="Arial"/>
          <w:sz w:val="18"/>
        </w:rPr>
      </w:pPr>
      <w:r w:rsidRPr="00312E41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</w:rPr>
        <w:t xml:space="preserve"> A</w:t>
      </w:r>
      <w:r w:rsidR="009432CB">
        <w:rPr>
          <w:rFonts w:ascii="Arial" w:eastAsia="Arial" w:hAnsi="Arial" w:cs="Arial"/>
          <w:sz w:val="18"/>
        </w:rPr>
        <w:t>spire</w:t>
      </w:r>
      <w:r>
        <w:rPr>
          <w:rFonts w:ascii="Arial" w:eastAsia="Arial" w:hAnsi="Arial" w:cs="Arial"/>
          <w:sz w:val="18"/>
        </w:rPr>
        <w:t xml:space="preserve"> formally defines a “Bridge Program” in the </w:t>
      </w:r>
      <w:r w:rsidR="009432CB">
        <w:rPr>
          <w:rFonts w:ascii="Arial" w:eastAsia="Arial" w:hAnsi="Arial" w:cs="Arial"/>
          <w:sz w:val="18"/>
        </w:rPr>
        <w:t>eGuide</w:t>
      </w:r>
      <w:r>
        <w:rPr>
          <w:rFonts w:ascii="Arial" w:eastAsia="Arial" w:hAnsi="Arial" w:cs="Arial"/>
          <w:sz w:val="18"/>
        </w:rPr>
        <w:t xml:space="preserve"> as “a class or series of classes specifically intended to prepare students to enter and succeed in a</w:t>
      </w:r>
      <w:r w:rsidR="00312E41">
        <w:rPr>
          <w:rFonts w:ascii="Arial" w:eastAsia="Arial" w:hAnsi="Arial" w:cs="Arial"/>
          <w:sz w:val="18"/>
        </w:rPr>
        <w:t xml:space="preserve">   </w:t>
      </w:r>
    </w:p>
    <w:p w14:paraId="50124093" w14:textId="77777777" w:rsidR="00312E41" w:rsidRDefault="00312E41" w:rsidP="00312E41">
      <w:pPr>
        <w:spacing w:after="0" w:line="240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  <w:r w:rsidR="00795633">
        <w:rPr>
          <w:rFonts w:ascii="Arial" w:eastAsia="Arial" w:hAnsi="Arial" w:cs="Arial"/>
          <w:sz w:val="18"/>
        </w:rPr>
        <w:t>postsecondary degree or certificate program. The core elements of such a course would include: contextualized instruction, career development and transition</w:t>
      </w:r>
    </w:p>
    <w:p w14:paraId="67442C07" w14:textId="77777777" w:rsidR="007B3B1C" w:rsidRDefault="00312E41" w:rsidP="00312E41">
      <w:pPr>
        <w:spacing w:after="0" w:line="240" w:lineRule="auto"/>
        <w:ind w:left="-5" w:hanging="10"/>
      </w:pPr>
      <w:r>
        <w:rPr>
          <w:rFonts w:ascii="Arial" w:eastAsia="Arial" w:hAnsi="Arial" w:cs="Arial"/>
          <w:sz w:val="18"/>
        </w:rPr>
        <w:t xml:space="preserve">  </w:t>
      </w:r>
      <w:r w:rsidR="00795633">
        <w:rPr>
          <w:rFonts w:ascii="Arial" w:eastAsia="Arial" w:hAnsi="Arial" w:cs="Arial"/>
          <w:sz w:val="18"/>
        </w:rPr>
        <w:t xml:space="preserve">services.”  </w:t>
      </w:r>
      <w:r w:rsidR="00795633">
        <w:rPr>
          <w:rFonts w:ascii="Arial" w:eastAsia="Arial" w:hAnsi="Arial" w:cs="Arial"/>
          <w:sz w:val="18"/>
          <w:vertAlign w:val="superscript"/>
        </w:rPr>
        <w:t xml:space="preserve"> </w:t>
      </w:r>
    </w:p>
    <w:p w14:paraId="3D5A0693" w14:textId="77777777" w:rsidR="007B3B1C" w:rsidRDefault="00795633" w:rsidP="00A212AF">
      <w:pPr>
        <w:spacing w:after="77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sectPr w:rsidR="007B3B1C" w:rsidSect="00312E41">
      <w:footerReference w:type="default" r:id="rId8"/>
      <w:pgSz w:w="15840" w:h="12240" w:orient="landscape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D826" w14:textId="77777777" w:rsidR="00312E41" w:rsidRDefault="00312E41" w:rsidP="00312E41">
      <w:pPr>
        <w:spacing w:after="0" w:line="240" w:lineRule="auto"/>
      </w:pPr>
      <w:r>
        <w:separator/>
      </w:r>
    </w:p>
  </w:endnote>
  <w:endnote w:type="continuationSeparator" w:id="0">
    <w:p w14:paraId="154CDDC2" w14:textId="77777777" w:rsidR="00312E41" w:rsidRDefault="00312E41" w:rsidP="0031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7F9D" w14:textId="77777777" w:rsidR="00312E41" w:rsidRPr="00312E41" w:rsidRDefault="00312E41">
    <w:pPr>
      <w:pStyle w:val="Footer"/>
      <w:rPr>
        <w:i/>
      </w:rPr>
    </w:pPr>
    <w:r w:rsidRPr="00312E41">
      <w:rPr>
        <w:i/>
      </w:rPr>
      <w:t>Updated November 22,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BD8C" w14:textId="77777777" w:rsidR="00312E41" w:rsidRDefault="00312E41" w:rsidP="00312E41">
      <w:pPr>
        <w:spacing w:after="0" w:line="240" w:lineRule="auto"/>
      </w:pPr>
      <w:r>
        <w:separator/>
      </w:r>
    </w:p>
  </w:footnote>
  <w:footnote w:type="continuationSeparator" w:id="0">
    <w:p w14:paraId="20BF3F4E" w14:textId="77777777" w:rsidR="00312E41" w:rsidRDefault="00312E41" w:rsidP="0031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6463E"/>
    <w:multiLevelType w:val="hybridMultilevel"/>
    <w:tmpl w:val="1844601C"/>
    <w:lvl w:ilvl="0" w:tplc="7E8E773A">
      <w:start w:val="1"/>
      <w:numFmt w:val="decimal"/>
      <w:lvlText w:val="%1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124AE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A8A6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3030ED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30A69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1F86A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1E4DD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41AE44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0481D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77A06BE"/>
    <w:multiLevelType w:val="hybridMultilevel"/>
    <w:tmpl w:val="A12EDEA0"/>
    <w:lvl w:ilvl="0" w:tplc="4718C244">
      <w:start w:val="1"/>
      <w:numFmt w:val="bullet"/>
      <w:lvlText w:val="•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484E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6FAAA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C69C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066E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6D36E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AD1A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C09E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A00C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41FCB"/>
    <w:multiLevelType w:val="hybridMultilevel"/>
    <w:tmpl w:val="A8A689DA"/>
    <w:lvl w:ilvl="0" w:tplc="D744F69C">
      <w:start w:val="1"/>
      <w:numFmt w:val="bullet"/>
      <w:lvlText w:val="•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252A0">
      <w:start w:val="1"/>
      <w:numFmt w:val="bullet"/>
      <w:lvlText w:val="o"/>
      <w:lvlJc w:val="left"/>
      <w:pPr>
        <w:ind w:left="1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87076">
      <w:start w:val="1"/>
      <w:numFmt w:val="bullet"/>
      <w:lvlText w:val="▪"/>
      <w:lvlJc w:val="left"/>
      <w:pPr>
        <w:ind w:left="2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B258">
      <w:start w:val="1"/>
      <w:numFmt w:val="bullet"/>
      <w:lvlText w:val="•"/>
      <w:lvlJc w:val="left"/>
      <w:pPr>
        <w:ind w:left="29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2E902">
      <w:start w:val="1"/>
      <w:numFmt w:val="bullet"/>
      <w:lvlText w:val="o"/>
      <w:lvlJc w:val="left"/>
      <w:pPr>
        <w:ind w:left="3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618A0">
      <w:start w:val="1"/>
      <w:numFmt w:val="bullet"/>
      <w:lvlText w:val="▪"/>
      <w:lvlJc w:val="left"/>
      <w:pPr>
        <w:ind w:left="4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8D5A">
      <w:start w:val="1"/>
      <w:numFmt w:val="bullet"/>
      <w:lvlText w:val="•"/>
      <w:lvlJc w:val="left"/>
      <w:pPr>
        <w:ind w:left="5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6874">
      <w:start w:val="1"/>
      <w:numFmt w:val="bullet"/>
      <w:lvlText w:val="o"/>
      <w:lvlJc w:val="left"/>
      <w:pPr>
        <w:ind w:left="58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3C3A">
      <w:start w:val="1"/>
      <w:numFmt w:val="bullet"/>
      <w:lvlText w:val="▪"/>
      <w:lvlJc w:val="left"/>
      <w:pPr>
        <w:ind w:left="65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0739D3"/>
    <w:multiLevelType w:val="hybridMultilevel"/>
    <w:tmpl w:val="1324CD08"/>
    <w:lvl w:ilvl="0" w:tplc="31468F62">
      <w:start w:val="1"/>
      <w:numFmt w:val="bullet"/>
      <w:lvlText w:val="•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887C6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0F57A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29B30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060A4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4AA24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0CB32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A09D8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A9CA2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C"/>
    <w:rsid w:val="00055073"/>
    <w:rsid w:val="00312E41"/>
    <w:rsid w:val="0043392B"/>
    <w:rsid w:val="005A41F5"/>
    <w:rsid w:val="00795633"/>
    <w:rsid w:val="007B0193"/>
    <w:rsid w:val="007B3B1C"/>
    <w:rsid w:val="008673C8"/>
    <w:rsid w:val="009432CB"/>
    <w:rsid w:val="00A212AF"/>
    <w:rsid w:val="00AE70F1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1FAC"/>
  <w15:docId w15:val="{D928E3BE-D80B-4ED6-88A8-9DE173B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8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1A1A1"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12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4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4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TransitionsFramework - Final 7-30-12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TransitionsFramework - Final 7-30-12</dc:title>
  <dc:subject/>
  <dc:creator>Sharon Brannon</dc:creator>
  <cp:keywords/>
  <cp:lastModifiedBy>Albanese, Donna</cp:lastModifiedBy>
  <cp:revision>2</cp:revision>
  <cp:lastPrinted>2017-11-22T19:11:00Z</cp:lastPrinted>
  <dcterms:created xsi:type="dcterms:W3CDTF">2021-06-28T14:55:00Z</dcterms:created>
  <dcterms:modified xsi:type="dcterms:W3CDTF">2021-06-28T14:55:00Z</dcterms:modified>
</cp:coreProperties>
</file>